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41"/>
        </w:tabs>
        <w:spacing w:line="276" w:lineRule="auto"/>
        <w:jc w:val="center"/>
        <w:rPr>
          <w:rFonts w:ascii="微软雅黑" w:hAnsi="微软雅黑" w:eastAsia="微软雅黑" w:cs="微软雅黑"/>
          <w:sz w:val="36"/>
          <w:szCs w:val="36"/>
        </w:rPr>
      </w:pPr>
      <w:r>
        <w:rPr>
          <w:rFonts w:hint="eastAsia" w:ascii="微软雅黑" w:hAnsi="微软雅黑" w:eastAsia="微软雅黑" w:cs="微软雅黑"/>
          <w:color w:val="FF0000"/>
          <w:sz w:val="36"/>
          <w:szCs w:val="36"/>
        </w:rPr>
        <w:t>中国</w:t>
      </w:r>
      <w:r>
        <w:rPr>
          <w:rFonts w:hint="eastAsia" w:ascii="微软雅黑" w:hAnsi="微软雅黑" w:eastAsia="微软雅黑" w:cs="微软雅黑"/>
          <w:color w:val="FF0000"/>
          <w:sz w:val="36"/>
          <w:szCs w:val="36"/>
          <w:lang w:eastAsia="zh-CN"/>
        </w:rPr>
        <w:t>特色新型智库知识资源总库</w:t>
      </w:r>
      <w:r>
        <w:rPr>
          <w:rFonts w:hint="eastAsia" w:ascii="微软雅黑" w:hAnsi="微软雅黑" w:eastAsia="微软雅黑" w:cs="微软雅黑"/>
          <w:color w:val="FF0000"/>
          <w:sz w:val="36"/>
          <w:szCs w:val="36"/>
        </w:rPr>
        <w:t>（</w:t>
      </w:r>
      <w:r>
        <w:rPr>
          <w:rFonts w:hint="eastAsia" w:ascii="微软雅黑" w:hAnsi="微软雅黑" w:eastAsia="微软雅黑" w:cs="微软雅黑"/>
          <w:color w:val="FF0000"/>
          <w:sz w:val="36"/>
          <w:szCs w:val="36"/>
          <w:lang w:val="en-US" w:eastAsia="zh-CN"/>
        </w:rPr>
        <w:t>ZKZT</w:t>
      </w:r>
      <w:r>
        <w:rPr>
          <w:rFonts w:hint="eastAsia" w:ascii="微软雅黑" w:hAnsi="微软雅黑" w:eastAsia="微软雅黑" w:cs="微软雅黑"/>
          <w:color w:val="FF0000"/>
          <w:sz w:val="36"/>
          <w:szCs w:val="36"/>
        </w:rPr>
        <w:t>）</w:t>
      </w:r>
    </w:p>
    <w:p>
      <w:pPr>
        <w:spacing w:line="276" w:lineRule="auto"/>
        <w:rPr>
          <w:rFonts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一、产品概况</w:t>
      </w:r>
    </w:p>
    <w:p>
      <w:pPr>
        <w:keepNext w:val="0"/>
        <w:keepLines w:val="0"/>
        <w:pageBreakBefore w:val="0"/>
        <w:widowControl w:val="0"/>
        <w:kinsoku/>
        <w:wordWrap/>
        <w:overflowPunct/>
        <w:topLinePunct w:val="0"/>
        <w:autoSpaceDE/>
        <w:autoSpaceDN/>
        <w:bidi w:val="0"/>
        <w:adjustRightInd/>
        <w:snapToGrid/>
        <w:spacing w:line="276" w:lineRule="auto"/>
        <w:ind w:firstLine="440" w:firstLineChars="200"/>
        <w:textAlignment w:val="auto"/>
        <w:rPr>
          <w:rFonts w:hint="eastAsia" w:ascii="宋体" w:hAnsi="宋体" w:cs="宋体"/>
          <w:sz w:val="22"/>
          <w:szCs w:val="22"/>
          <w:lang w:val="en-US" w:eastAsia="zh-CN"/>
        </w:rPr>
      </w:pPr>
      <w:r>
        <w:rPr>
          <w:rFonts w:hint="eastAsia" w:ascii="宋体" w:hAnsi="宋体" w:cs="宋体"/>
          <w:sz w:val="22"/>
          <w:szCs w:val="22"/>
          <w:lang w:val="en-US" w:eastAsia="zh-CN"/>
        </w:rPr>
        <w:t>《中国特色新型智库知识资源总库》针对政府、科研、媒体和公众在咨政建言、参考咨询、政策研究、舆情引导、专家评价、社会调研等方面的需求，提供情报推送、项目查新、产业调研等服务。为推动我国形成有利于智库发展的智库理论、智库政策、智库方法、智库机制、智库评价、智库人才培养等提供平台。系统整合了《中国知识资源总库》的多种资源，其中期刊包括《国家智库》、《智库理论与实践》等851种社科类核心刊物，另外还收录智库人才专家6万余人。产品于2020年做了如下优化改版，产品资源扩充：</w:t>
      </w:r>
    </w:p>
    <w:p>
      <w:pPr>
        <w:keepNext w:val="0"/>
        <w:keepLines w:val="0"/>
        <w:pageBreakBefore w:val="0"/>
        <w:widowControl w:val="0"/>
        <w:kinsoku/>
        <w:wordWrap/>
        <w:overflowPunct/>
        <w:topLinePunct w:val="0"/>
        <w:autoSpaceDE/>
        <w:autoSpaceDN/>
        <w:bidi w:val="0"/>
        <w:adjustRightInd/>
        <w:snapToGrid/>
        <w:spacing w:line="276" w:lineRule="auto"/>
        <w:ind w:firstLine="440" w:firstLineChars="200"/>
        <w:textAlignment w:val="auto"/>
        <w:rPr>
          <w:rFonts w:hint="eastAsia" w:ascii="宋体" w:hAnsi="宋体" w:cs="宋体"/>
          <w:sz w:val="22"/>
          <w:szCs w:val="22"/>
          <w:lang w:val="en-US" w:eastAsia="zh-CN"/>
        </w:rPr>
      </w:pPr>
      <w:r>
        <w:rPr>
          <w:rFonts w:hint="eastAsia" w:ascii="宋体" w:hAnsi="宋体" w:cs="宋体"/>
          <w:sz w:val="22"/>
          <w:szCs w:val="22"/>
          <w:lang w:val="en-US" w:eastAsia="zh-CN"/>
        </w:rPr>
        <w:t>①大幅增加收录智库范围及资源内容。编集国内外近700家智库机构的名录信息、动态、成果。其中，国内智库由原先的25家高端智库扩充至560家，国外智库由19家扩充至70余家。对于600家国内智库，制作对应的中国智库索引页，提供智库机构查询和索引功能服务，帮助用户快速掌握各智库相关新闻资讯、研究产出等信息，辅助单个智库机构整体的跨部门、跨区域视角地处理当前复杂问题的决策咨询需求。</w:t>
      </w:r>
    </w:p>
    <w:p>
      <w:pPr>
        <w:keepNext w:val="0"/>
        <w:keepLines w:val="0"/>
        <w:pageBreakBefore w:val="0"/>
        <w:widowControl w:val="0"/>
        <w:kinsoku/>
        <w:wordWrap/>
        <w:overflowPunct/>
        <w:topLinePunct w:val="0"/>
        <w:autoSpaceDE/>
        <w:autoSpaceDN/>
        <w:bidi w:val="0"/>
        <w:adjustRightInd/>
        <w:snapToGrid/>
        <w:spacing w:line="276" w:lineRule="auto"/>
        <w:ind w:firstLine="440" w:firstLineChars="200"/>
        <w:textAlignment w:val="auto"/>
        <w:rPr>
          <w:rFonts w:hint="eastAsia" w:ascii="宋体" w:hAnsi="宋体" w:cs="宋体"/>
          <w:sz w:val="22"/>
          <w:szCs w:val="22"/>
          <w:lang w:val="en-US" w:eastAsia="zh-CN"/>
        </w:rPr>
      </w:pPr>
      <w:r>
        <w:rPr>
          <w:rFonts w:hint="eastAsia" w:ascii="宋体" w:hAnsi="宋体" w:cs="宋体"/>
          <w:sz w:val="22"/>
          <w:szCs w:val="22"/>
          <w:lang w:val="en-US" w:eastAsia="zh-CN"/>
        </w:rPr>
        <w:t>②提供国内智库统计评价数据。将《党政智库学术成果统计分析数据库》作为子模块予以纳入，有效解决智库成果统计、影响力评价的数据问题。模块对2006年至今各级社科院、党校行政学院、党政部门等智库机构及其下属二级院所（共计460家党政智库及下属1251家二级机构、4.2万余名专家学者）在国内外学术期刊、党政期刊、会议、重要报纸、基金项目上的成果产出进行统计，从学术影响力、媒体影响力和政策影响力三个维度，准确反映党政主要研究型智库的科研水平和影响力，为智库管理者、智库机构、智库学者提供基于大数据分析的决策参考方法和客观依据。</w:t>
      </w:r>
    </w:p>
    <w:p>
      <w:pPr>
        <w:spacing w:line="276" w:lineRule="auto"/>
        <w:ind w:firstLine="440" w:firstLineChars="200"/>
        <w:rPr>
          <w:rFonts w:hint="eastAsia" w:ascii="宋体" w:hAnsi="宋体" w:cs="宋体"/>
          <w:sz w:val="22"/>
          <w:szCs w:val="22"/>
        </w:rPr>
      </w:pPr>
      <w:r>
        <w:rPr>
          <w:rFonts w:hint="eastAsia" w:ascii="黑体" w:hAnsi="黑体" w:eastAsia="黑体" w:cs="黑体"/>
          <w:sz w:val="22"/>
          <w:szCs w:val="22"/>
        </w:rPr>
        <w:t>1、数据来源：</w:t>
      </w:r>
      <w:r>
        <w:rPr>
          <w:rFonts w:hint="eastAsia" w:ascii="宋体" w:hAnsi="宋体" w:cs="宋体"/>
          <w:sz w:val="22"/>
          <w:szCs w:val="22"/>
          <w:lang w:eastAsia="zh-CN"/>
        </w:rPr>
        <w:t>期刊、报纸、博硕士论文、中国会议、国际会议、年鉴、法律法规、科技成果、科研项目、专家、新闻动态等。</w:t>
      </w:r>
    </w:p>
    <w:p>
      <w:pPr>
        <w:spacing w:line="276" w:lineRule="auto"/>
        <w:rPr>
          <w:rFonts w:ascii="宋体" w:hAnsi="宋体" w:cs="宋体"/>
          <w:sz w:val="22"/>
          <w:szCs w:val="22"/>
        </w:rPr>
      </w:pPr>
      <w:r>
        <w:rPr>
          <w:rFonts w:hint="eastAsia" w:ascii="宋体" w:hAnsi="宋体" w:cs="宋体"/>
          <w:sz w:val="22"/>
          <w:szCs w:val="22"/>
        </w:rPr>
        <w:t xml:space="preserve">    </w:t>
      </w:r>
      <w:r>
        <w:rPr>
          <w:rFonts w:hint="eastAsia" w:ascii="黑体" w:hAnsi="黑体" w:eastAsia="黑体" w:cs="黑体"/>
          <w:sz w:val="22"/>
          <w:szCs w:val="22"/>
        </w:rPr>
        <w:t>2、收录年限：</w:t>
      </w:r>
      <w:r>
        <w:rPr>
          <w:rFonts w:hint="eastAsia" w:ascii="宋体" w:hAnsi="宋体" w:cs="宋体"/>
          <w:sz w:val="22"/>
          <w:szCs w:val="22"/>
        </w:rPr>
        <w:t>1994年至今，部分刊物回溯至创刊</w:t>
      </w:r>
      <w:r>
        <w:rPr>
          <w:rFonts w:hint="eastAsia" w:ascii="宋体" w:hAnsi="宋体" w:cs="宋体"/>
          <w:sz w:val="22"/>
          <w:szCs w:val="22"/>
          <w:lang w:eastAsia="zh-CN"/>
        </w:rPr>
        <w:t>。</w:t>
      </w:r>
    </w:p>
    <w:p>
      <w:pPr>
        <w:spacing w:line="276" w:lineRule="auto"/>
        <w:ind w:firstLine="432"/>
        <w:rPr>
          <w:rFonts w:hint="eastAsia" w:ascii="宋体" w:hAnsi="宋体" w:eastAsia="宋体" w:cs="宋体"/>
          <w:sz w:val="22"/>
          <w:szCs w:val="22"/>
          <w:lang w:eastAsia="zh-CN"/>
        </w:rPr>
      </w:pPr>
      <w:r>
        <w:rPr>
          <w:rFonts w:hint="eastAsia" w:ascii="黑体" w:hAnsi="黑体" w:eastAsia="黑体" w:cs="黑体"/>
          <w:sz w:val="22"/>
          <w:szCs w:val="22"/>
        </w:rPr>
        <w:t>3、出版总量：</w:t>
      </w:r>
      <w:r>
        <w:rPr>
          <w:rFonts w:hint="eastAsia" w:ascii="宋体" w:hAnsi="宋体" w:cs="宋体"/>
          <w:sz w:val="22"/>
          <w:szCs w:val="22"/>
        </w:rPr>
        <w:t>截至到20</w:t>
      </w:r>
      <w:r>
        <w:rPr>
          <w:rFonts w:hint="eastAsia" w:ascii="宋体" w:hAnsi="宋体" w:cs="宋体"/>
          <w:sz w:val="22"/>
          <w:szCs w:val="22"/>
          <w:lang w:val="en-US" w:eastAsia="zh-CN"/>
        </w:rPr>
        <w:t>20</w:t>
      </w:r>
      <w:r>
        <w:rPr>
          <w:rFonts w:hint="eastAsia" w:ascii="宋体" w:hAnsi="宋体" w:cs="宋体"/>
          <w:sz w:val="22"/>
          <w:szCs w:val="22"/>
        </w:rPr>
        <w:t>年</w:t>
      </w:r>
      <w:r>
        <w:rPr>
          <w:rFonts w:hint="eastAsia" w:ascii="宋体" w:hAnsi="宋体" w:cs="宋体"/>
          <w:sz w:val="22"/>
          <w:szCs w:val="22"/>
          <w:lang w:val="en-US" w:eastAsia="zh-CN"/>
        </w:rPr>
        <w:t>9</w:t>
      </w:r>
      <w:r>
        <w:rPr>
          <w:rFonts w:hint="eastAsia" w:ascii="宋体" w:hAnsi="宋体" w:cs="宋体"/>
          <w:sz w:val="22"/>
          <w:szCs w:val="22"/>
        </w:rPr>
        <w:t>月</w:t>
      </w:r>
      <w:r>
        <w:rPr>
          <w:rFonts w:hint="eastAsia" w:ascii="宋体" w:hAnsi="宋体" w:cs="宋体"/>
          <w:sz w:val="22"/>
          <w:szCs w:val="22"/>
          <w:lang w:eastAsia="zh-CN"/>
        </w:rPr>
        <w:t>约</w:t>
      </w:r>
      <w:r>
        <w:rPr>
          <w:rFonts w:hint="eastAsia" w:ascii="宋体" w:hAnsi="宋体" w:cs="宋体"/>
          <w:sz w:val="22"/>
          <w:szCs w:val="22"/>
          <w:lang w:val="en-US" w:eastAsia="zh-CN"/>
        </w:rPr>
        <w:t>9300</w:t>
      </w:r>
      <w:r>
        <w:rPr>
          <w:rFonts w:hint="eastAsia" w:ascii="宋体" w:hAnsi="宋体" w:cs="宋体"/>
          <w:sz w:val="22"/>
          <w:szCs w:val="22"/>
        </w:rPr>
        <w:t>万余篇</w:t>
      </w:r>
      <w:r>
        <w:rPr>
          <w:rFonts w:hint="eastAsia" w:ascii="宋体" w:hAnsi="宋体" w:cs="宋体"/>
          <w:sz w:val="22"/>
          <w:szCs w:val="22"/>
          <w:lang w:eastAsia="zh-CN"/>
        </w:rPr>
        <w:t>，</w:t>
      </w:r>
      <w:r>
        <w:rPr>
          <w:rFonts w:hint="eastAsia" w:ascii="宋体" w:hAnsi="宋体" w:eastAsia="宋体" w:cs="宋体"/>
          <w:sz w:val="22"/>
          <w:szCs w:val="22"/>
        </w:rPr>
        <w:t>年更新量达440余万篇。</w:t>
      </w:r>
    </w:p>
    <w:p>
      <w:pPr>
        <w:keepNext w:val="0"/>
        <w:keepLines w:val="0"/>
        <w:pageBreakBefore w:val="0"/>
        <w:widowControl w:val="0"/>
        <w:kinsoku/>
        <w:wordWrap/>
        <w:overflowPunct/>
        <w:topLinePunct w:val="0"/>
        <w:autoSpaceDE/>
        <w:autoSpaceDN/>
        <w:bidi w:val="0"/>
        <w:adjustRightInd/>
        <w:snapToGrid/>
        <w:spacing w:line="276" w:lineRule="auto"/>
        <w:ind w:firstLine="440" w:firstLineChars="200"/>
        <w:textAlignment w:val="auto"/>
        <w:rPr>
          <w:rFonts w:hint="default" w:ascii="华文楷体" w:hAnsi="华文楷体" w:eastAsia="华文楷体" w:cs="华文楷体"/>
          <w:color w:val="000000"/>
          <w:kern w:val="2"/>
          <w:sz w:val="24"/>
          <w:szCs w:val="24"/>
          <w:lang w:val="en-US" w:eastAsia="zh-CN" w:bidi="ar-SA"/>
        </w:rPr>
      </w:pPr>
      <w:r>
        <w:rPr>
          <w:rFonts w:hint="eastAsia" w:ascii="黑体" w:hAnsi="黑体" w:eastAsia="黑体" w:cs="黑体"/>
          <w:sz w:val="22"/>
          <w:szCs w:val="22"/>
        </w:rPr>
        <w:t>4、分类体系：</w:t>
      </w:r>
      <w:r>
        <w:rPr>
          <w:rFonts w:hint="eastAsia" w:ascii="宋体" w:hAnsi="宋体" w:eastAsia="宋体" w:cs="宋体"/>
          <w:sz w:val="22"/>
          <w:szCs w:val="22"/>
          <w:lang w:val="en-US" w:eastAsia="zh-CN"/>
        </w:rPr>
        <w:t>依据智库研究机构重点研究学科，涵盖I（信息科技）、F（哲学与人文科学）、G（社会科学Ⅰ辑）、H（社会科学Ⅱ辑）、J（经济与管理科学）五个专辑全部文献，并分设100余个专题。并按照智库单位业务工作所需分为案例、研究报告、科技成果、期刊文献；按照政治建设、经济建设、文化建设、社会建设、生态建设、党的建设、军事国防、对外关系对专家学者和智库理论做分类导航；按照智库类型、学科、研究领域、地区等维度整合了全国600余家智库信息，建立索引。</w:t>
      </w:r>
    </w:p>
    <w:p>
      <w:pPr>
        <w:spacing w:line="276" w:lineRule="auto"/>
        <w:rPr>
          <w:rFonts w:hint="eastAsia" w:ascii="黑体" w:hAnsi="黑体" w:eastAsia="黑体" w:cs="黑体"/>
          <w:sz w:val="22"/>
          <w:szCs w:val="22"/>
          <w:lang w:eastAsia="zh-CN"/>
        </w:rPr>
      </w:pPr>
      <w:r>
        <w:rPr>
          <w:rFonts w:hint="eastAsia" w:ascii="黑体" w:hAnsi="黑体" w:eastAsia="黑体" w:cs="黑体"/>
          <w:sz w:val="22"/>
          <w:szCs w:val="22"/>
          <w:lang w:eastAsia="zh-CN"/>
        </w:rPr>
        <w:drawing>
          <wp:inline distT="0" distB="0" distL="114300" distR="114300">
            <wp:extent cx="5264150" cy="2944495"/>
            <wp:effectExtent l="0" t="0" r="12700" b="8255"/>
            <wp:docPr id="3" name="图片 3" descr="智库总库功能架构图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智库总库功能架构图1117"/>
                    <pic:cNvPicPr>
                      <a:picLocks noChangeAspect="1"/>
                    </pic:cNvPicPr>
                  </pic:nvPicPr>
                  <pic:blipFill>
                    <a:blip r:embed="rId4"/>
                    <a:stretch>
                      <a:fillRect/>
                    </a:stretch>
                  </pic:blipFill>
                  <pic:spPr>
                    <a:xfrm>
                      <a:off x="0" y="0"/>
                      <a:ext cx="5264150" cy="2944495"/>
                    </a:xfrm>
                    <a:prstGeom prst="rect">
                      <a:avLst/>
                    </a:prstGeom>
                  </pic:spPr>
                </pic:pic>
              </a:graphicData>
            </a:graphic>
          </wp:inline>
        </w:drawing>
      </w:r>
    </w:p>
    <w:p>
      <w:pPr>
        <w:spacing w:line="276" w:lineRule="auto"/>
        <w:rPr>
          <w:rFonts w:hint="eastAsia" w:ascii="黑体" w:hAnsi="黑体" w:eastAsia="黑体" w:cs="黑体"/>
          <w:sz w:val="22"/>
          <w:szCs w:val="22"/>
        </w:rPr>
      </w:pPr>
    </w:p>
    <w:p>
      <w:pPr>
        <w:spacing w:line="276" w:lineRule="auto"/>
        <w:rPr>
          <w:rFonts w:ascii="宋体" w:hAnsi="宋体" w:cs="宋体"/>
          <w:sz w:val="22"/>
          <w:szCs w:val="22"/>
        </w:rPr>
      </w:pPr>
      <w:r>
        <w:rPr>
          <w:rFonts w:hint="eastAsia" w:ascii="宋体" w:hAnsi="宋体" w:cs="宋体"/>
          <w:sz w:val="22"/>
          <w:szCs w:val="22"/>
        </w:rPr>
        <w:t xml:space="preserve">    </w:t>
      </w:r>
      <w:r>
        <w:rPr>
          <w:rFonts w:hint="eastAsia" w:ascii="黑体" w:hAnsi="黑体" w:eastAsia="黑体" w:cs="黑体"/>
          <w:sz w:val="22"/>
          <w:szCs w:val="22"/>
        </w:rPr>
        <w:t>5、出版时效：</w:t>
      </w:r>
      <w:r>
        <w:rPr>
          <w:rFonts w:hint="eastAsia" w:ascii="宋体" w:hAnsi="宋体" w:cs="宋体"/>
          <w:sz w:val="22"/>
          <w:szCs w:val="22"/>
        </w:rPr>
        <w:t>网络数据每日更新。</w:t>
      </w:r>
    </w:p>
    <w:p>
      <w:pPr>
        <w:pStyle w:val="2"/>
        <w:widowControl/>
        <w:spacing w:line="276" w:lineRule="auto"/>
        <w:ind w:firstLine="450"/>
        <w:rPr>
          <w:rFonts w:hint="default"/>
          <w:sz w:val="22"/>
          <w:szCs w:val="22"/>
        </w:rPr>
      </w:pPr>
      <w:r>
        <w:rPr>
          <w:rFonts w:ascii="黑体" w:hAnsi="黑体" w:eastAsia="黑体" w:cs="黑体"/>
          <w:sz w:val="22"/>
          <w:szCs w:val="22"/>
        </w:rPr>
        <w:t>6、出版合法性：</w:t>
      </w:r>
      <w:r>
        <w:rPr>
          <w:sz w:val="22"/>
          <w:szCs w:val="22"/>
        </w:rPr>
        <w:t>所收录期刊均取得其出版单位授权。</w:t>
      </w:r>
    </w:p>
    <w:p>
      <w:pPr>
        <w:pStyle w:val="2"/>
        <w:widowControl/>
        <w:spacing w:line="276" w:lineRule="auto"/>
        <w:ind w:firstLine="450"/>
        <w:rPr>
          <w:rFonts w:hint="eastAsia" w:ascii="宋体" w:hAnsi="宋体" w:eastAsia="宋体" w:cs="宋体"/>
          <w:b/>
          <w:bCs/>
          <w:sz w:val="30"/>
          <w:szCs w:val="30"/>
          <w14:textFill>
            <w14:gradFill>
              <w14:gsLst>
                <w14:gs w14:pos="0">
                  <w14:srgbClr w14:val="14CD68"/>
                </w14:gs>
                <w14:gs w14:pos="100000">
                  <w14:srgbClr w14:val="0B6E38"/>
                </w14:gs>
              </w14:gsLst>
              <w14:lin w14:scaled="0"/>
            </w14:gradFill>
          </w14:textFill>
        </w:rPr>
      </w:pPr>
      <w:r>
        <w:rPr>
          <w:rFonts w:hint="eastAsia" w:ascii="宋体" w:hAnsi="宋体" w:eastAsia="宋体" w:cs="宋体"/>
          <w:b/>
          <w:bCs/>
          <w:sz w:val="30"/>
          <w:szCs w:val="30"/>
          <w14:textFill>
            <w14:gradFill>
              <w14:gsLst>
                <w14:gs w14:pos="0">
                  <w14:srgbClr w14:val="14CD68"/>
                </w14:gs>
                <w14:gs w14:pos="100000">
                  <w14:srgbClr w14:val="0B6E38"/>
                </w14:gs>
              </w14:gsLst>
              <w14:lin w14:scaled="0"/>
            </w14:gradFill>
          </w14:textFill>
        </w:rPr>
        <w:t>7、产品网址：https://zhiku.cnki.net/。</w:t>
      </w:r>
    </w:p>
    <w:p>
      <w:pPr>
        <w:spacing w:line="276" w:lineRule="auto"/>
        <w:rPr>
          <w:rFonts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二、资源特色</w:t>
      </w:r>
      <w:bookmarkStart w:id="0" w:name="_GoBack"/>
      <w:bookmarkEnd w:id="0"/>
    </w:p>
    <w:p>
      <w:pPr>
        <w:spacing w:line="276" w:lineRule="auto"/>
        <w:ind w:firstLine="440" w:firstLineChars="200"/>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1、期刊种数收录完整：</w:t>
      </w:r>
      <w:r>
        <w:rPr>
          <w:rFonts w:hint="eastAsia" w:ascii="宋体" w:hAnsi="宋体" w:eastAsia="宋体" w:cs="宋体"/>
          <w:sz w:val="22"/>
          <w:szCs w:val="22"/>
          <w:lang w:val="en-US" w:eastAsia="zh-CN"/>
        </w:rPr>
        <w:t>核心期刊、重要评价性数据库来源期刊完整率大于 93%；其它学术期刊完整率高于90%。</w:t>
      </w:r>
    </w:p>
    <w:p>
      <w:pPr>
        <w:spacing w:line="276" w:lineRule="auto"/>
        <w:ind w:firstLine="440" w:firstLineChars="200"/>
        <w:rPr>
          <w:rFonts w:hint="eastAsia" w:ascii="宋体" w:hAnsi="宋体" w:eastAsia="宋体" w:cs="宋体"/>
          <w:sz w:val="22"/>
          <w:szCs w:val="22"/>
          <w:lang w:val="en-US" w:eastAsia="zh-CN"/>
        </w:rPr>
      </w:pPr>
      <w:r>
        <w:rPr>
          <w:rFonts w:hint="eastAsia" w:ascii="黑体" w:hAnsi="黑体" w:eastAsia="黑体" w:cs="黑体"/>
          <w:sz w:val="22"/>
          <w:szCs w:val="22"/>
          <w:lang w:val="en-US" w:eastAsia="zh-CN"/>
        </w:rPr>
        <w:t>2、文献期数收录完整：</w:t>
      </w:r>
      <w:r>
        <w:rPr>
          <w:rFonts w:hint="eastAsia" w:ascii="宋体" w:hAnsi="宋体" w:eastAsia="宋体" w:cs="宋体"/>
          <w:sz w:val="22"/>
          <w:szCs w:val="22"/>
          <w:lang w:val="en-US" w:eastAsia="zh-CN"/>
        </w:rPr>
        <w:t>文献收录期数完整率高于99％。</w:t>
      </w:r>
    </w:p>
    <w:p>
      <w:pPr>
        <w:spacing w:line="276" w:lineRule="auto"/>
        <w:ind w:firstLine="440" w:firstLineChars="200"/>
        <w:rPr>
          <w:rFonts w:hint="eastAsia" w:ascii="宋体" w:hAnsi="宋体" w:cs="宋体"/>
          <w:sz w:val="22"/>
          <w:szCs w:val="22"/>
        </w:rPr>
      </w:pPr>
      <w:r>
        <w:rPr>
          <w:rFonts w:hint="eastAsia" w:ascii="黑体" w:hAnsi="黑体" w:eastAsia="黑体" w:cs="黑体"/>
          <w:sz w:val="22"/>
          <w:szCs w:val="22"/>
          <w:lang w:val="en-US" w:eastAsia="zh-CN"/>
        </w:rPr>
        <w:t>3、文献篇数收录完整：</w:t>
      </w:r>
      <w:r>
        <w:rPr>
          <w:rFonts w:hint="eastAsia" w:ascii="宋体" w:hAnsi="宋体" w:eastAsia="宋体" w:cs="宋体"/>
          <w:sz w:val="22"/>
          <w:szCs w:val="22"/>
          <w:lang w:val="en-US" w:eastAsia="zh-CN"/>
        </w:rPr>
        <w:t>文献篇数收录完整率高于99％。</w:t>
      </w:r>
    </w:p>
    <w:p>
      <w:pPr>
        <w:spacing w:line="276" w:lineRule="auto"/>
        <w:rPr>
          <w:rFonts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三、功能特点</w:t>
      </w:r>
    </w:p>
    <w:p>
      <w:pPr>
        <w:keepNext w:val="0"/>
        <w:keepLines w:val="0"/>
        <w:pageBreakBefore w:val="0"/>
        <w:widowControl w:val="0"/>
        <w:kinsoku/>
        <w:wordWrap/>
        <w:overflowPunct/>
        <w:topLinePunct w:val="0"/>
        <w:autoSpaceDE/>
        <w:autoSpaceDN/>
        <w:bidi w:val="0"/>
        <w:adjustRightInd/>
        <w:snapToGrid/>
        <w:spacing w:line="276" w:lineRule="auto"/>
        <w:ind w:firstLine="440" w:firstLineChars="200"/>
        <w:textAlignment w:val="auto"/>
        <w:rPr>
          <w:rFonts w:hint="eastAsia" w:ascii="宋体" w:hAnsi="宋体" w:eastAsia="宋体" w:cs="宋体"/>
          <w:sz w:val="22"/>
          <w:szCs w:val="22"/>
        </w:rPr>
      </w:pPr>
      <w:r>
        <w:rPr>
          <w:rFonts w:hint="eastAsia" w:ascii="黑体" w:hAnsi="黑体" w:eastAsia="黑体" w:cs="黑体"/>
          <w:sz w:val="22"/>
          <w:szCs w:val="22"/>
          <w:lang w:val="en-US" w:eastAsia="zh-CN"/>
        </w:rPr>
        <w:t>1、检索字段：</w:t>
      </w:r>
      <w:r>
        <w:rPr>
          <w:rFonts w:hint="eastAsia" w:ascii="宋体" w:hAnsi="宋体" w:eastAsia="宋体" w:cs="宋体"/>
          <w:sz w:val="22"/>
          <w:szCs w:val="22"/>
        </w:rPr>
        <w:t>提供多种检索字段</w:t>
      </w:r>
      <w:r>
        <w:rPr>
          <w:rFonts w:hint="eastAsia" w:ascii="宋体" w:hAnsi="宋体" w:eastAsia="宋体" w:cs="宋体"/>
          <w:sz w:val="22"/>
          <w:szCs w:val="22"/>
          <w:lang w:eastAsia="zh-CN"/>
        </w:rPr>
        <w:t>：</w:t>
      </w:r>
      <w:r>
        <w:rPr>
          <w:rFonts w:hint="eastAsia" w:ascii="宋体" w:hAnsi="宋体" w:eastAsia="宋体" w:cs="宋体"/>
          <w:sz w:val="22"/>
          <w:szCs w:val="22"/>
        </w:rPr>
        <w:t>主题、篇名、关键词、摘要、全文、参考文献、中图分类号、作者、作者单位、发表时间、更新时间、文献来源、支持基金、项目名称等。</w:t>
      </w:r>
    </w:p>
    <w:p>
      <w:pPr>
        <w:keepNext w:val="0"/>
        <w:keepLines w:val="0"/>
        <w:pageBreakBefore w:val="0"/>
        <w:widowControl w:val="0"/>
        <w:kinsoku/>
        <w:wordWrap/>
        <w:overflowPunct/>
        <w:topLinePunct w:val="0"/>
        <w:autoSpaceDE/>
        <w:autoSpaceDN/>
        <w:bidi w:val="0"/>
        <w:adjustRightInd/>
        <w:snapToGrid/>
        <w:spacing w:line="276" w:lineRule="auto"/>
        <w:ind w:firstLine="440" w:firstLineChars="200"/>
        <w:textAlignment w:val="auto"/>
        <w:rPr>
          <w:rFonts w:hint="eastAsia" w:ascii="宋体" w:hAnsi="宋体" w:eastAsia="宋体" w:cs="宋体"/>
          <w:sz w:val="22"/>
          <w:szCs w:val="22"/>
        </w:rPr>
      </w:pPr>
      <w:r>
        <w:rPr>
          <w:rFonts w:hint="eastAsia" w:ascii="黑体" w:hAnsi="黑体" w:eastAsia="黑体" w:cs="黑体"/>
          <w:sz w:val="22"/>
          <w:szCs w:val="22"/>
        </w:rPr>
        <w:t>2、知网节模块：</w:t>
      </w:r>
      <w:r>
        <w:rPr>
          <w:rFonts w:hint="eastAsia" w:ascii="宋体" w:hAnsi="宋体" w:eastAsia="宋体" w:cs="宋体"/>
          <w:sz w:val="22"/>
          <w:szCs w:val="22"/>
        </w:rPr>
        <w:t>提供节点文献的相关文献，可以链接到其它数据库使用。</w:t>
      </w:r>
    </w:p>
    <w:p>
      <w:pPr>
        <w:keepNext w:val="0"/>
        <w:keepLines w:val="0"/>
        <w:pageBreakBefore w:val="0"/>
        <w:widowControl w:val="0"/>
        <w:kinsoku/>
        <w:wordWrap/>
        <w:overflowPunct/>
        <w:topLinePunct w:val="0"/>
        <w:autoSpaceDE/>
        <w:autoSpaceDN/>
        <w:bidi w:val="0"/>
        <w:adjustRightInd/>
        <w:snapToGrid/>
        <w:spacing w:line="276" w:lineRule="auto"/>
        <w:ind w:firstLine="440" w:firstLineChars="200"/>
        <w:textAlignment w:val="auto"/>
        <w:rPr>
          <w:rFonts w:hint="eastAsia" w:ascii="宋体" w:hAnsi="宋体" w:cs="宋体"/>
          <w:sz w:val="22"/>
          <w:szCs w:val="22"/>
        </w:rPr>
      </w:pPr>
      <w:r>
        <w:rPr>
          <w:rFonts w:hint="eastAsia" w:ascii="黑体" w:hAnsi="黑体" w:eastAsia="黑体" w:cs="黑体"/>
          <w:sz w:val="22"/>
          <w:szCs w:val="22"/>
        </w:rPr>
        <w:t>3、检索结果处理：</w:t>
      </w:r>
      <w:r>
        <w:rPr>
          <w:rFonts w:hint="eastAsia" w:ascii="宋体" w:hAnsi="宋体" w:eastAsia="宋体" w:cs="宋体"/>
          <w:sz w:val="22"/>
          <w:szCs w:val="22"/>
        </w:rPr>
        <w:t>支持通过分组排序检索结果进行进一步筛选。</w:t>
      </w:r>
    </w:p>
    <w:p>
      <w:pPr>
        <w:spacing w:line="276" w:lineRule="auto"/>
        <w:rPr>
          <w:rFonts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四、产品价值</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40" w:firstLineChars="200"/>
        <w:textAlignment w:val="auto"/>
        <w:rPr>
          <w:rFonts w:hint="eastAsia" w:ascii="宋体" w:hAnsi="宋体" w:eastAsia="宋体" w:cs="宋体"/>
          <w:b w:val="0"/>
          <w:bCs w:val="0"/>
          <w:sz w:val="22"/>
          <w:szCs w:val="22"/>
        </w:rPr>
      </w:pPr>
      <w:r>
        <w:rPr>
          <w:rFonts w:hint="eastAsia" w:ascii="宋体" w:hAnsi="宋体" w:cs="宋体"/>
          <w:b w:val="0"/>
          <w:bCs w:val="0"/>
          <w:sz w:val="22"/>
          <w:szCs w:val="22"/>
          <w:lang w:val="en-US" w:eastAsia="zh-CN"/>
        </w:rPr>
        <w:t>适用对象：</w:t>
      </w:r>
      <w:r>
        <w:rPr>
          <w:rFonts w:hint="eastAsia" w:ascii="宋体" w:hAnsi="宋体" w:eastAsia="宋体" w:cs="宋体"/>
          <w:b w:val="0"/>
          <w:bCs w:val="0"/>
          <w:sz w:val="22"/>
          <w:szCs w:val="22"/>
          <w:lang w:val="en-US" w:eastAsia="zh-CN"/>
        </w:rPr>
        <w:t>社科院以及社科联、</w:t>
      </w:r>
      <w:r>
        <w:rPr>
          <w:rFonts w:hint="eastAsia" w:ascii="宋体" w:hAnsi="宋体" w:eastAsia="宋体" w:cs="宋体"/>
          <w:b w:val="0"/>
          <w:bCs w:val="0"/>
          <w:sz w:val="22"/>
          <w:szCs w:val="22"/>
        </w:rPr>
        <w:t>协同研究中心等各类从事智库研究或者决策辅助等职能的党政机关等。</w:t>
      </w:r>
    </w:p>
    <w:p>
      <w:pPr>
        <w:keepNext w:val="0"/>
        <w:keepLines w:val="0"/>
        <w:pageBreakBefore w:val="0"/>
        <w:widowControl w:val="0"/>
        <w:numPr>
          <w:ilvl w:val="0"/>
          <w:numId w:val="1"/>
        </w:numPr>
        <w:kinsoku/>
        <w:wordWrap/>
        <w:overflowPunct/>
        <w:topLinePunct w:val="0"/>
        <w:autoSpaceDE/>
        <w:autoSpaceDN/>
        <w:bidi w:val="0"/>
        <w:adjustRightInd/>
        <w:snapToGrid/>
        <w:spacing w:line="276" w:lineRule="auto"/>
        <w:ind w:firstLine="440" w:firstLineChars="200"/>
        <w:textAlignment w:val="auto"/>
        <w:rPr>
          <w:rStyle w:val="5"/>
          <w:rFonts w:hint="default" w:asciiTheme="minorEastAsia" w:hAnsiTheme="minorEastAsia" w:cstheme="minorEastAsia"/>
          <w:szCs w:val="21"/>
          <w:lang w:bidi="ar"/>
        </w:rPr>
      </w:pPr>
      <w:r>
        <w:rPr>
          <w:rFonts w:hint="eastAsia" w:ascii="宋体" w:hAnsi="宋体" w:cs="宋体"/>
          <w:b w:val="0"/>
          <w:bCs w:val="0"/>
          <w:sz w:val="22"/>
          <w:szCs w:val="22"/>
          <w:lang w:val="en-US" w:eastAsia="zh-CN"/>
        </w:rPr>
        <w:t>应用价值：</w:t>
      </w:r>
      <w:r>
        <w:rPr>
          <w:rFonts w:hint="eastAsia" w:ascii="宋体" w:hAnsi="宋体" w:eastAsia="宋体" w:cs="宋体"/>
          <w:b w:val="0"/>
          <w:bCs w:val="0"/>
          <w:sz w:val="22"/>
          <w:szCs w:val="22"/>
        </w:rPr>
        <w:t>根据各单位政策研究、学科建设整体布局，紧紧围绕其重大理论问题和现实问题的主攻方向提供内容丰富的、资源权威的、功能齐全的数据分析系统和智库知识服务。</w:t>
      </w:r>
    </w:p>
    <w:p>
      <w:pPr>
        <w:spacing w:line="276" w:lineRule="auto"/>
        <w:ind w:firstLine="4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8345F"/>
    <w:multiLevelType w:val="singleLevel"/>
    <w:tmpl w:val="063834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70E32"/>
    <w:rsid w:val="023B4D69"/>
    <w:rsid w:val="027A0546"/>
    <w:rsid w:val="07580D9F"/>
    <w:rsid w:val="11C46A69"/>
    <w:rsid w:val="18656ED2"/>
    <w:rsid w:val="205516D4"/>
    <w:rsid w:val="367476A9"/>
    <w:rsid w:val="39B93C42"/>
    <w:rsid w:val="42231E7B"/>
    <w:rsid w:val="42F8142D"/>
    <w:rsid w:val="447E1647"/>
    <w:rsid w:val="56A341F7"/>
    <w:rsid w:val="60270E32"/>
    <w:rsid w:val="6BD069A2"/>
    <w:rsid w:val="6DBE141B"/>
    <w:rsid w:val="7C5562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szCs w:val="24"/>
    </w:rPr>
  </w:style>
  <w:style w:type="character" w:customStyle="1" w:styleId="5">
    <w:name w:val="font2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2020-09-08T05:16:00Z</dcterms:created>
  <dc:creator>吴娜</dc:creator>
  <cp:lastModifiedBy>泪无痕</cp:lastModifiedBy>
  <dcterms:modified xsi:type="dcterms:W3CDTF">2021-05-21T03:06:39Z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5A03351440234780B8F4102A78084CDC</vt:lpwstr>
  </property>
</Properties>
</file>